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抚顺市水务局从轻行政处罚事项清单</w:t>
      </w:r>
    </w:p>
    <w:p>
      <w:r>
        <w:rPr>
          <w:rStyle w:val="5"/>
          <w:rFonts w:hint="default"/>
        </w:rPr>
        <w:t>单位：（公章）</w:t>
      </w:r>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2277"/>
        <w:gridCol w:w="3036"/>
        <w:gridCol w:w="1912"/>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top"/>
          </w:tcPr>
          <w:p>
            <w:pPr>
              <w:spacing w:line="380" w:lineRule="exact"/>
              <w:rPr>
                <w:rFonts w:ascii="仿宋" w:hAnsi="仿宋" w:eastAsia="仿宋"/>
                <w:b/>
                <w:kern w:val="0"/>
                <w:sz w:val="32"/>
                <w:szCs w:val="32"/>
              </w:rPr>
            </w:pPr>
          </w:p>
          <w:p>
            <w:pPr>
              <w:spacing w:line="380" w:lineRule="exact"/>
              <w:rPr>
                <w:rFonts w:ascii="仿宋" w:hAnsi="仿宋" w:eastAsia="仿宋"/>
                <w:b/>
                <w:kern w:val="0"/>
                <w:sz w:val="32"/>
                <w:szCs w:val="32"/>
              </w:rPr>
            </w:pPr>
            <w:r>
              <w:rPr>
                <w:rFonts w:hint="eastAsia" w:ascii="仿宋" w:hAnsi="仿宋" w:eastAsia="仿宋"/>
                <w:b/>
                <w:kern w:val="0"/>
                <w:sz w:val="32"/>
                <w:szCs w:val="32"/>
              </w:rPr>
              <w:t>序号</w:t>
            </w:r>
          </w:p>
        </w:tc>
        <w:tc>
          <w:tcPr>
            <w:tcW w:w="3969" w:type="dxa"/>
            <w:noWrap w:val="0"/>
            <w:vAlign w:val="top"/>
          </w:tcPr>
          <w:p>
            <w:pPr>
              <w:spacing w:line="380" w:lineRule="exact"/>
              <w:ind w:firstLine="1606" w:firstLineChars="500"/>
              <w:rPr>
                <w:rFonts w:ascii="仿宋" w:hAnsi="仿宋" w:eastAsia="仿宋"/>
                <w:b/>
                <w:kern w:val="0"/>
                <w:sz w:val="32"/>
                <w:szCs w:val="32"/>
              </w:rPr>
            </w:pPr>
          </w:p>
          <w:p>
            <w:pPr>
              <w:spacing w:line="380" w:lineRule="exact"/>
              <w:ind w:firstLine="964" w:firstLineChars="300"/>
              <w:rPr>
                <w:rFonts w:ascii="仿宋" w:hAnsi="仿宋" w:eastAsia="仿宋"/>
                <w:b/>
                <w:kern w:val="0"/>
                <w:sz w:val="32"/>
                <w:szCs w:val="32"/>
              </w:rPr>
            </w:pPr>
            <w:r>
              <w:rPr>
                <w:rFonts w:hint="eastAsia" w:ascii="仿宋" w:hAnsi="仿宋" w:eastAsia="仿宋"/>
                <w:b/>
                <w:kern w:val="0"/>
                <w:sz w:val="32"/>
                <w:szCs w:val="32"/>
              </w:rPr>
              <w:t>处罚事项</w:t>
            </w:r>
          </w:p>
        </w:tc>
        <w:tc>
          <w:tcPr>
            <w:tcW w:w="5245" w:type="dxa"/>
            <w:noWrap w:val="0"/>
            <w:vAlign w:val="top"/>
          </w:tcPr>
          <w:p>
            <w:pPr>
              <w:spacing w:line="380" w:lineRule="exact"/>
              <w:ind w:firstLine="1606" w:firstLineChars="500"/>
              <w:rPr>
                <w:rFonts w:ascii="仿宋" w:hAnsi="仿宋" w:eastAsia="仿宋"/>
                <w:b/>
                <w:kern w:val="0"/>
                <w:sz w:val="32"/>
                <w:szCs w:val="32"/>
              </w:rPr>
            </w:pPr>
          </w:p>
          <w:p>
            <w:pPr>
              <w:spacing w:line="380" w:lineRule="exact"/>
              <w:ind w:firstLine="1606" w:firstLineChars="500"/>
              <w:rPr>
                <w:rFonts w:ascii="仿宋" w:hAnsi="仿宋" w:eastAsia="仿宋"/>
                <w:b/>
                <w:kern w:val="0"/>
                <w:sz w:val="32"/>
                <w:szCs w:val="32"/>
              </w:rPr>
            </w:pPr>
            <w:r>
              <w:rPr>
                <w:rFonts w:hint="eastAsia" w:ascii="仿宋" w:hAnsi="仿宋" w:eastAsia="仿宋"/>
                <w:b/>
                <w:kern w:val="0"/>
                <w:sz w:val="32"/>
                <w:szCs w:val="32"/>
              </w:rPr>
              <w:t>从轻处罚的情形</w:t>
            </w:r>
          </w:p>
        </w:tc>
        <w:tc>
          <w:tcPr>
            <w:tcW w:w="3217" w:type="dxa"/>
            <w:noWrap w:val="0"/>
            <w:vAlign w:val="top"/>
          </w:tcPr>
          <w:p>
            <w:pPr>
              <w:spacing w:line="380" w:lineRule="exact"/>
              <w:rPr>
                <w:rFonts w:ascii="仿宋" w:hAnsi="仿宋" w:eastAsia="仿宋"/>
                <w:b/>
                <w:kern w:val="0"/>
                <w:sz w:val="32"/>
                <w:szCs w:val="32"/>
              </w:rPr>
            </w:pPr>
          </w:p>
          <w:p>
            <w:pPr>
              <w:spacing w:line="380" w:lineRule="exact"/>
              <w:rPr>
                <w:rFonts w:ascii="仿宋" w:hAnsi="仿宋" w:eastAsia="仿宋"/>
                <w:b/>
                <w:kern w:val="0"/>
                <w:sz w:val="32"/>
                <w:szCs w:val="32"/>
              </w:rPr>
            </w:pPr>
            <w:r>
              <w:rPr>
                <w:rFonts w:hint="eastAsia" w:ascii="仿宋" w:hAnsi="仿宋" w:eastAsia="仿宋"/>
                <w:b/>
                <w:kern w:val="0"/>
                <w:sz w:val="32"/>
                <w:szCs w:val="32"/>
              </w:rPr>
              <w:t>从轻处罚的依据</w:t>
            </w:r>
          </w:p>
        </w:tc>
        <w:tc>
          <w:tcPr>
            <w:tcW w:w="926" w:type="dxa"/>
            <w:noWrap w:val="0"/>
            <w:vAlign w:val="top"/>
          </w:tcPr>
          <w:p>
            <w:pPr>
              <w:spacing w:line="380" w:lineRule="exact"/>
              <w:rPr>
                <w:rFonts w:ascii="仿宋" w:hAnsi="仿宋" w:eastAsia="仿宋"/>
                <w:b/>
                <w:kern w:val="0"/>
                <w:sz w:val="32"/>
                <w:szCs w:val="32"/>
              </w:rPr>
            </w:pPr>
          </w:p>
          <w:p>
            <w:pPr>
              <w:spacing w:line="380" w:lineRule="exact"/>
              <w:rPr>
                <w:rFonts w:ascii="仿宋" w:hAnsi="仿宋" w:eastAsia="仿宋"/>
                <w:b/>
                <w:kern w:val="0"/>
                <w:sz w:val="32"/>
                <w:szCs w:val="32"/>
              </w:rPr>
            </w:pPr>
            <w:r>
              <w:rPr>
                <w:rFonts w:hint="eastAsia" w:ascii="仿宋" w:hAnsi="仿宋" w:eastAsia="仿宋"/>
                <w:b/>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atLeast"/>
        </w:trPr>
        <w:tc>
          <w:tcPr>
            <w:tcW w:w="889" w:type="dxa"/>
            <w:noWrap w:val="0"/>
            <w:vAlign w:val="top"/>
          </w:tcPr>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r>
              <w:rPr>
                <w:rFonts w:hint="eastAsia" w:ascii="仿宋" w:hAnsi="仿宋" w:eastAsia="仿宋"/>
                <w:kern w:val="0"/>
                <w:sz w:val="32"/>
                <w:szCs w:val="32"/>
              </w:rPr>
              <w:t>1</w:t>
            </w:r>
          </w:p>
          <w:p>
            <w:pPr>
              <w:spacing w:line="380" w:lineRule="exact"/>
              <w:jc w:val="center"/>
              <w:rPr>
                <w:rFonts w:ascii="仿宋" w:hAnsi="仿宋" w:eastAsia="仿宋"/>
                <w:kern w:val="0"/>
                <w:sz w:val="32"/>
                <w:szCs w:val="32"/>
              </w:rPr>
            </w:pPr>
          </w:p>
          <w:p>
            <w:pPr>
              <w:spacing w:line="380" w:lineRule="exact"/>
              <w:rPr>
                <w:rFonts w:ascii="仿宋" w:hAnsi="仿宋" w:eastAsia="仿宋"/>
                <w:kern w:val="0"/>
                <w:sz w:val="32"/>
                <w:szCs w:val="32"/>
              </w:rPr>
            </w:pPr>
          </w:p>
        </w:tc>
        <w:tc>
          <w:tcPr>
            <w:tcW w:w="3969" w:type="dxa"/>
            <w:noWrap w:val="0"/>
            <w:vAlign w:val="top"/>
          </w:tcPr>
          <w:p>
            <w:pPr>
              <w:spacing w:line="380" w:lineRule="exact"/>
              <w:rPr>
                <w:rFonts w:ascii="仿宋" w:hAnsi="仿宋" w:eastAsia="仿宋"/>
                <w:kern w:val="0"/>
                <w:sz w:val="32"/>
                <w:szCs w:val="32"/>
              </w:rPr>
            </w:pPr>
          </w:p>
          <w:p>
            <w:pPr>
              <w:spacing w:line="380" w:lineRule="exact"/>
              <w:rPr>
                <w:rFonts w:ascii="仿宋" w:hAnsi="仿宋" w:eastAsia="仿宋"/>
                <w:kern w:val="0"/>
                <w:sz w:val="32"/>
                <w:szCs w:val="32"/>
              </w:rPr>
            </w:pPr>
            <w:r>
              <w:rPr>
                <w:rFonts w:hint="eastAsia" w:ascii="仿宋" w:hAnsi="仿宋" w:eastAsia="仿宋" w:cs="仿宋"/>
                <w:kern w:val="0"/>
                <w:sz w:val="32"/>
                <w:szCs w:val="32"/>
              </w:rPr>
              <w:t>在水工程保护范围内，从事影响水工程运行和危害水工程安全的爆破、打井、采石、取土等活动的</w:t>
            </w:r>
          </w:p>
        </w:tc>
        <w:tc>
          <w:tcPr>
            <w:tcW w:w="5245" w:type="dxa"/>
            <w:noWrap w:val="0"/>
            <w:vAlign w:val="top"/>
          </w:tcPr>
          <w:p>
            <w:pPr>
              <w:overflowPunct w:val="0"/>
              <w:adjustRightInd w:val="0"/>
              <w:snapToGrid w:val="0"/>
              <w:spacing w:line="380" w:lineRule="exact"/>
              <w:rPr>
                <w:rFonts w:ascii="仿宋" w:hAnsi="仿宋" w:eastAsia="仿宋" w:cs="仿宋"/>
                <w:kern w:val="0"/>
                <w:sz w:val="32"/>
                <w:szCs w:val="32"/>
              </w:rPr>
            </w:pPr>
          </w:p>
          <w:p>
            <w:pPr>
              <w:overflowPunct w:val="0"/>
              <w:adjustRightInd w:val="0"/>
              <w:snapToGrid w:val="0"/>
              <w:spacing w:line="380" w:lineRule="exact"/>
              <w:rPr>
                <w:rFonts w:ascii="仿宋" w:hAnsi="仿宋" w:eastAsia="仿宋" w:cs="仿宋"/>
                <w:kern w:val="0"/>
                <w:sz w:val="32"/>
                <w:szCs w:val="32"/>
              </w:rPr>
            </w:pPr>
          </w:p>
          <w:p>
            <w:pPr>
              <w:overflowPunct w:val="0"/>
              <w:adjustRightInd w:val="0"/>
              <w:snapToGrid w:val="0"/>
              <w:spacing w:line="3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停止违法行为并在规定的期限内恢复原状的，</w:t>
            </w:r>
            <w:r>
              <w:rPr>
                <w:rFonts w:hint="eastAsia" w:ascii="仿宋" w:hAnsi="仿宋" w:eastAsia="仿宋"/>
                <w:kern w:val="0"/>
                <w:sz w:val="32"/>
                <w:szCs w:val="32"/>
              </w:rPr>
              <w:t>从轻处罚。</w:t>
            </w:r>
          </w:p>
          <w:p>
            <w:pPr>
              <w:overflowPunct w:val="0"/>
              <w:adjustRightInd w:val="0"/>
              <w:snapToGrid w:val="0"/>
              <w:spacing w:line="380" w:lineRule="exact"/>
              <w:rPr>
                <w:rFonts w:ascii="仿宋" w:hAnsi="仿宋" w:eastAsia="仿宋" w:cs="仿宋"/>
                <w:kern w:val="0"/>
                <w:sz w:val="32"/>
                <w:szCs w:val="32"/>
              </w:rPr>
            </w:pPr>
          </w:p>
        </w:tc>
        <w:tc>
          <w:tcPr>
            <w:tcW w:w="3217" w:type="dxa"/>
            <w:noWrap w:val="0"/>
            <w:vAlign w:val="top"/>
          </w:tcPr>
          <w:p>
            <w:pPr>
              <w:spacing w:line="400" w:lineRule="exact"/>
              <w:rPr>
                <w:rFonts w:ascii="仿宋" w:hAnsi="仿宋" w:eastAsia="仿宋"/>
                <w:kern w:val="0"/>
                <w:sz w:val="24"/>
              </w:rPr>
            </w:pPr>
            <w:r>
              <w:rPr>
                <w:rFonts w:hint="eastAsia" w:ascii="仿宋" w:hAnsi="仿宋" w:eastAsia="仿宋"/>
                <w:kern w:val="0"/>
                <w:sz w:val="24"/>
              </w:rPr>
              <w:t>《水法》第七十二条</w:t>
            </w:r>
            <w:r>
              <w:rPr>
                <w:rFonts w:ascii="仿宋" w:hAnsi="仿宋" w:eastAsia="仿宋" w:cs="Arial"/>
                <w:color w:val="333333"/>
                <w:sz w:val="24"/>
                <w:shd w:val="clear" w:color="auto" w:fill="FFFFFF"/>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tc>
        <w:tc>
          <w:tcPr>
            <w:tcW w:w="926" w:type="dxa"/>
            <w:noWrap w:val="0"/>
            <w:vAlign w:val="top"/>
          </w:tcPr>
          <w:p>
            <w:pPr>
              <w:spacing w:line="38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889" w:type="dxa"/>
            <w:noWrap w:val="0"/>
            <w:vAlign w:val="top"/>
          </w:tcPr>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r>
              <w:rPr>
                <w:rFonts w:hint="eastAsia" w:ascii="仿宋" w:hAnsi="仿宋" w:eastAsia="仿宋"/>
                <w:kern w:val="0"/>
                <w:sz w:val="32"/>
                <w:szCs w:val="32"/>
              </w:rPr>
              <w:t>2</w:t>
            </w:r>
          </w:p>
        </w:tc>
        <w:tc>
          <w:tcPr>
            <w:tcW w:w="3969" w:type="dxa"/>
            <w:noWrap w:val="0"/>
            <w:vAlign w:val="top"/>
          </w:tcPr>
          <w:p>
            <w:pPr>
              <w:overflowPunct w:val="0"/>
              <w:adjustRightInd w:val="0"/>
              <w:snapToGrid w:val="0"/>
              <w:spacing w:line="380" w:lineRule="exact"/>
              <w:rPr>
                <w:rFonts w:ascii="仿宋" w:hAnsi="仿宋" w:eastAsia="仿宋" w:cs="仿宋"/>
                <w:bCs/>
                <w:kern w:val="0"/>
                <w:sz w:val="32"/>
                <w:szCs w:val="32"/>
              </w:rPr>
            </w:pPr>
            <w:r>
              <w:rPr>
                <w:rFonts w:hint="eastAsia" w:ascii="仿宋" w:hAnsi="仿宋" w:eastAsia="仿宋" w:cs="仿宋"/>
                <w:bCs/>
                <w:kern w:val="0"/>
                <w:sz w:val="32"/>
                <w:szCs w:val="32"/>
              </w:rPr>
              <w:t>违反规划同意书的要求，影响防洪但尚可采取补救措施的</w:t>
            </w:r>
          </w:p>
        </w:tc>
        <w:tc>
          <w:tcPr>
            <w:tcW w:w="5245" w:type="dxa"/>
            <w:noWrap w:val="0"/>
            <w:vAlign w:val="top"/>
          </w:tcPr>
          <w:p>
            <w:pPr>
              <w:overflowPunct w:val="0"/>
              <w:adjustRightInd w:val="0"/>
              <w:snapToGrid w:val="0"/>
              <w:spacing w:line="3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在规定的期限内采取的补救措施部分消除影响的，</w:t>
            </w:r>
            <w:r>
              <w:rPr>
                <w:rFonts w:hint="eastAsia" w:ascii="仿宋" w:hAnsi="仿宋" w:eastAsia="仿宋"/>
                <w:kern w:val="0"/>
                <w:sz w:val="32"/>
                <w:szCs w:val="32"/>
              </w:rPr>
              <w:t>从轻处罚。</w:t>
            </w:r>
          </w:p>
        </w:tc>
        <w:tc>
          <w:tcPr>
            <w:tcW w:w="3217" w:type="dxa"/>
            <w:noWrap w:val="0"/>
            <w:vAlign w:val="top"/>
          </w:tcPr>
          <w:p>
            <w:r>
              <w:rPr>
                <w:rFonts w:hint="eastAsia" w:ascii="仿宋" w:hAnsi="仿宋" w:eastAsia="仿宋"/>
                <w:kern w:val="0"/>
                <w:sz w:val="24"/>
              </w:rPr>
              <w:t>《防洪法》</w:t>
            </w:r>
            <w:r>
              <w:rPr>
                <w:rFonts w:hint="eastAsia" w:ascii="仿宋" w:hAnsi="仿宋" w:eastAsia="仿宋"/>
                <w:color w:val="333333"/>
                <w:sz w:val="24"/>
                <w:shd w:val="clear" w:color="auto" w:fill="FFFFFF"/>
              </w:rPr>
              <w:t>　第五十四条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926" w:type="dxa"/>
            <w:noWrap w:val="0"/>
            <w:vAlign w:val="top"/>
          </w:tcPr>
          <w:p>
            <w:pPr>
              <w:spacing w:line="38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889" w:type="dxa"/>
            <w:noWrap w:val="0"/>
            <w:vAlign w:val="top"/>
          </w:tcPr>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r>
              <w:rPr>
                <w:rFonts w:hint="eastAsia" w:ascii="仿宋" w:hAnsi="仿宋" w:eastAsia="仿宋"/>
                <w:kern w:val="0"/>
                <w:sz w:val="32"/>
                <w:szCs w:val="32"/>
              </w:rPr>
              <w:t>3</w:t>
            </w:r>
          </w:p>
        </w:tc>
        <w:tc>
          <w:tcPr>
            <w:tcW w:w="3969" w:type="dxa"/>
            <w:noWrap w:val="0"/>
            <w:vAlign w:val="top"/>
          </w:tcPr>
          <w:p>
            <w:pPr>
              <w:overflowPunct w:val="0"/>
              <w:adjustRightInd w:val="0"/>
              <w:snapToGrid w:val="0"/>
              <w:spacing w:line="380" w:lineRule="exact"/>
              <w:rPr>
                <w:rFonts w:ascii="仿宋" w:hAnsi="仿宋" w:eastAsia="仿宋" w:cs="仿宋"/>
                <w:bCs/>
                <w:kern w:val="0"/>
                <w:sz w:val="32"/>
                <w:szCs w:val="32"/>
              </w:rPr>
            </w:pPr>
            <w:r>
              <w:rPr>
                <w:rFonts w:hint="eastAsia" w:ascii="仿宋" w:hAnsi="仿宋" w:eastAsia="仿宋" w:cs="仿宋"/>
                <w:bCs/>
                <w:kern w:val="0"/>
                <w:sz w:val="32"/>
                <w:szCs w:val="32"/>
              </w:rPr>
              <w:t>未按照规划治导线整治河道和修建控制引导河水流向、保护堤岸等工程，影响防洪的</w:t>
            </w:r>
          </w:p>
        </w:tc>
        <w:tc>
          <w:tcPr>
            <w:tcW w:w="5245" w:type="dxa"/>
            <w:noWrap w:val="0"/>
            <w:vAlign w:val="top"/>
          </w:tcPr>
          <w:p>
            <w:pPr>
              <w:overflowPunct w:val="0"/>
              <w:adjustRightInd w:val="0"/>
              <w:snapToGrid w:val="0"/>
              <w:spacing w:line="3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停止违法行为，在规定期限内未能恢复原状但采取其它补救措施的，</w:t>
            </w:r>
            <w:r>
              <w:rPr>
                <w:rFonts w:hint="eastAsia" w:ascii="仿宋" w:hAnsi="仿宋" w:eastAsia="仿宋"/>
                <w:kern w:val="0"/>
                <w:sz w:val="32"/>
                <w:szCs w:val="32"/>
              </w:rPr>
              <w:t>从轻处罚。</w:t>
            </w:r>
          </w:p>
          <w:p>
            <w:pPr>
              <w:overflowPunct w:val="0"/>
              <w:adjustRightInd w:val="0"/>
              <w:snapToGrid w:val="0"/>
              <w:spacing w:line="380" w:lineRule="exact"/>
              <w:rPr>
                <w:rFonts w:ascii="仿宋" w:hAnsi="仿宋" w:eastAsia="仿宋" w:cs="仿宋"/>
                <w:kern w:val="0"/>
                <w:sz w:val="32"/>
                <w:szCs w:val="32"/>
              </w:rPr>
            </w:pPr>
          </w:p>
        </w:tc>
        <w:tc>
          <w:tcPr>
            <w:tcW w:w="3217" w:type="dxa"/>
            <w:noWrap w:val="0"/>
            <w:vAlign w:val="top"/>
          </w:tcPr>
          <w:p>
            <w:r>
              <w:rPr>
                <w:rFonts w:hint="eastAsia" w:ascii="仿宋" w:hAnsi="仿宋" w:eastAsia="仿宋"/>
                <w:kern w:val="0"/>
                <w:sz w:val="24"/>
              </w:rPr>
              <w:t>《防洪法》</w:t>
            </w:r>
            <w:r>
              <w:rPr>
                <w:rFonts w:hint="eastAsia" w:ascii="仿宋" w:hAnsi="仿宋" w:eastAsia="仿宋"/>
                <w:color w:val="333333"/>
                <w:sz w:val="24"/>
                <w:shd w:val="clear" w:color="auto" w:fill="FFFFFF"/>
              </w:rPr>
              <w:t>第五十五条　违反本法第十九条规定，未按照规划治导线整治河道和修建控制引导河水流向、保护堤岸等工程，影响防洪的，责令停止违法行为，恢复原状或者采取其他补救措施，可以处一万元以上十万元以下的罚款</w:t>
            </w:r>
          </w:p>
        </w:tc>
        <w:tc>
          <w:tcPr>
            <w:tcW w:w="926" w:type="dxa"/>
            <w:noWrap w:val="0"/>
            <w:vAlign w:val="top"/>
          </w:tcPr>
          <w:p>
            <w:pPr>
              <w:spacing w:line="38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trPr>
        <w:tc>
          <w:tcPr>
            <w:tcW w:w="889" w:type="dxa"/>
            <w:noWrap w:val="0"/>
            <w:vAlign w:val="top"/>
          </w:tcPr>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r>
              <w:rPr>
                <w:rFonts w:hint="eastAsia" w:ascii="仿宋" w:hAnsi="仿宋" w:eastAsia="仿宋"/>
                <w:kern w:val="0"/>
                <w:sz w:val="32"/>
                <w:szCs w:val="32"/>
              </w:rPr>
              <w:t>4</w:t>
            </w:r>
          </w:p>
        </w:tc>
        <w:tc>
          <w:tcPr>
            <w:tcW w:w="3969" w:type="dxa"/>
            <w:noWrap w:val="0"/>
            <w:vAlign w:val="top"/>
          </w:tcPr>
          <w:p>
            <w:pPr>
              <w:spacing w:line="380" w:lineRule="exact"/>
              <w:rPr>
                <w:rFonts w:ascii="仿宋" w:hAnsi="仿宋" w:eastAsia="仿宋"/>
                <w:kern w:val="0"/>
                <w:sz w:val="32"/>
                <w:szCs w:val="32"/>
              </w:rPr>
            </w:pPr>
          </w:p>
          <w:p>
            <w:pPr>
              <w:spacing w:line="380" w:lineRule="exact"/>
              <w:rPr>
                <w:rFonts w:ascii="仿宋" w:hAnsi="仿宋" w:eastAsia="仿宋"/>
                <w:kern w:val="0"/>
                <w:sz w:val="32"/>
                <w:szCs w:val="32"/>
              </w:rPr>
            </w:pPr>
          </w:p>
          <w:p>
            <w:pPr>
              <w:spacing w:line="380" w:lineRule="exact"/>
              <w:rPr>
                <w:rFonts w:ascii="仿宋" w:hAnsi="仿宋" w:eastAsia="仿宋"/>
                <w:kern w:val="0"/>
                <w:sz w:val="32"/>
                <w:szCs w:val="32"/>
              </w:rPr>
            </w:pPr>
            <w:r>
              <w:rPr>
                <w:rFonts w:hint="eastAsia" w:ascii="仿宋" w:hAnsi="仿宋" w:eastAsia="仿宋" w:cs="仿宋"/>
                <w:bCs/>
                <w:kern w:val="0"/>
                <w:sz w:val="32"/>
                <w:szCs w:val="32"/>
              </w:rPr>
              <w:t>在河道、湖泊管理范围内建设妨碍行洪的建筑物、构筑物的</w:t>
            </w:r>
          </w:p>
        </w:tc>
        <w:tc>
          <w:tcPr>
            <w:tcW w:w="5245" w:type="dxa"/>
            <w:noWrap w:val="0"/>
            <w:vAlign w:val="top"/>
          </w:tcPr>
          <w:p>
            <w:pPr>
              <w:overflowPunct w:val="0"/>
              <w:adjustRightInd w:val="0"/>
              <w:snapToGrid w:val="0"/>
              <w:spacing w:line="3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建筑物、构筑物占河道设计洪水位断面</w:t>
            </w:r>
            <w:r>
              <w:rPr>
                <w:rFonts w:ascii="仿宋" w:hAnsi="仿宋" w:eastAsia="仿宋" w:cs="仿宋"/>
                <w:kern w:val="0"/>
                <w:sz w:val="32"/>
                <w:szCs w:val="32"/>
              </w:rPr>
              <w:t>5%</w:t>
            </w:r>
            <w:r>
              <w:rPr>
                <w:rFonts w:hint="eastAsia" w:ascii="仿宋" w:hAnsi="仿宋" w:eastAsia="仿宋" w:cs="仿宋"/>
                <w:kern w:val="0"/>
                <w:sz w:val="32"/>
                <w:szCs w:val="32"/>
              </w:rPr>
              <w:t>以下</w:t>
            </w:r>
            <w:r>
              <w:rPr>
                <w:rFonts w:ascii="仿宋" w:hAnsi="仿宋" w:eastAsia="仿宋" w:cs="仿宋"/>
                <w:kern w:val="0"/>
                <w:sz w:val="32"/>
                <w:szCs w:val="32"/>
              </w:rPr>
              <w:t xml:space="preserve">, </w:t>
            </w:r>
            <w:r>
              <w:rPr>
                <w:rFonts w:hint="eastAsia" w:ascii="仿宋" w:hAnsi="仿宋" w:eastAsia="仿宋" w:cs="仿宋"/>
                <w:kern w:val="0"/>
                <w:sz w:val="32"/>
                <w:szCs w:val="32"/>
              </w:rPr>
              <w:t>或者建筑面积</w:t>
            </w:r>
            <w:r>
              <w:rPr>
                <w:rFonts w:ascii="仿宋" w:hAnsi="仿宋" w:eastAsia="仿宋" w:cs="仿宋"/>
                <w:kern w:val="0"/>
                <w:sz w:val="32"/>
                <w:szCs w:val="32"/>
              </w:rPr>
              <w:t>100</w:t>
            </w:r>
            <w:r>
              <w:rPr>
                <w:rFonts w:hint="eastAsia" w:ascii="仿宋" w:hAnsi="仿宋" w:eastAsia="仿宋" w:cs="仿宋"/>
                <w:kern w:val="0"/>
                <w:sz w:val="32"/>
                <w:szCs w:val="32"/>
              </w:rPr>
              <w:t>平方米以下</w:t>
            </w:r>
            <w:r>
              <w:rPr>
                <w:rFonts w:ascii="仿宋" w:hAnsi="仿宋" w:eastAsia="仿宋" w:cs="仿宋"/>
                <w:kern w:val="0"/>
                <w:sz w:val="32"/>
                <w:szCs w:val="32"/>
              </w:rPr>
              <w:t>,</w:t>
            </w:r>
            <w:r>
              <w:rPr>
                <w:rFonts w:hint="eastAsia" w:ascii="仿宋" w:hAnsi="仿宋" w:eastAsia="仿宋" w:cs="仿宋"/>
                <w:kern w:val="0"/>
                <w:sz w:val="32"/>
                <w:szCs w:val="32"/>
              </w:rPr>
              <w:t>停止违法行为，并在规定期限内采取其它补救措施的，</w:t>
            </w:r>
            <w:r>
              <w:rPr>
                <w:rFonts w:hint="eastAsia" w:ascii="仿宋" w:hAnsi="仿宋" w:eastAsia="仿宋"/>
                <w:kern w:val="0"/>
                <w:sz w:val="32"/>
                <w:szCs w:val="32"/>
              </w:rPr>
              <w:t>从轻处罚。</w:t>
            </w:r>
          </w:p>
        </w:tc>
        <w:tc>
          <w:tcPr>
            <w:tcW w:w="3217" w:type="dxa"/>
            <w:noWrap w:val="0"/>
            <w:vAlign w:val="top"/>
          </w:tcPr>
          <w:p>
            <w:r>
              <w:rPr>
                <w:rFonts w:hint="eastAsia" w:ascii="仿宋" w:hAnsi="仿宋" w:eastAsia="仿宋"/>
                <w:kern w:val="0"/>
                <w:sz w:val="24"/>
              </w:rPr>
              <w:t>《防洪法》</w:t>
            </w:r>
            <w:r>
              <w:rPr>
                <w:rFonts w:hint="eastAsia" w:ascii="仿宋" w:hAnsi="仿宋" w:eastAsia="仿宋"/>
                <w:color w:val="333333"/>
                <w:sz w:val="24"/>
              </w:rPr>
              <w:t>第五十六条　违反本法第二十二条第二款、第三款规定，有下列行为之一的，责令停止</w:t>
            </w:r>
            <w:r>
              <w:rPr>
                <w:rFonts w:hint="eastAsia" w:ascii="仿宋" w:hAnsi="仿宋" w:eastAsia="仿宋"/>
                <w:color w:val="333333"/>
              </w:rPr>
              <w:t>违法行为，排除阻碍或者采取其他补救措施，可以处五万元以下的罚款</w:t>
            </w:r>
            <w:r>
              <w:rPr>
                <w:rFonts w:hint="eastAsia" w:ascii="仿宋" w:hAnsi="仿宋" w:eastAsia="仿宋"/>
                <w:color w:val="333333"/>
                <w:sz w:val="24"/>
              </w:rPr>
              <w:t>(一)在河道、湖泊管理范围内建设妨碍行洪的建筑物、构筑物的;</w:t>
            </w:r>
          </w:p>
        </w:tc>
        <w:tc>
          <w:tcPr>
            <w:tcW w:w="926" w:type="dxa"/>
            <w:noWrap w:val="0"/>
            <w:vAlign w:val="top"/>
          </w:tcPr>
          <w:p>
            <w:pPr>
              <w:spacing w:line="38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889" w:type="dxa"/>
            <w:noWrap w:val="0"/>
            <w:vAlign w:val="top"/>
          </w:tcPr>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r>
              <w:rPr>
                <w:rFonts w:hint="eastAsia" w:ascii="仿宋" w:hAnsi="仿宋" w:eastAsia="仿宋"/>
                <w:kern w:val="0"/>
                <w:sz w:val="32"/>
                <w:szCs w:val="32"/>
              </w:rPr>
              <w:t>5</w:t>
            </w:r>
          </w:p>
        </w:tc>
        <w:tc>
          <w:tcPr>
            <w:tcW w:w="3969" w:type="dxa"/>
            <w:noWrap w:val="0"/>
            <w:vAlign w:val="top"/>
          </w:tcPr>
          <w:p>
            <w:pPr>
              <w:spacing w:line="380" w:lineRule="exact"/>
              <w:rPr>
                <w:rFonts w:ascii="仿宋" w:hAnsi="仿宋" w:eastAsia="仿宋"/>
                <w:kern w:val="0"/>
                <w:sz w:val="32"/>
                <w:szCs w:val="32"/>
              </w:rPr>
            </w:pPr>
            <w:r>
              <w:rPr>
                <w:rFonts w:hint="eastAsia" w:ascii="仿宋" w:hAnsi="仿宋" w:eastAsia="仿宋" w:cs="仿宋"/>
                <w:bCs/>
                <w:kern w:val="0"/>
                <w:sz w:val="32"/>
                <w:szCs w:val="32"/>
              </w:rPr>
              <w:t>在河道、湖泊管理范围内倾倒垃圾、渣土，从事影响河势稳定、危害河岸堤防安全和其他妨碍河道行洪的活动的</w:t>
            </w:r>
          </w:p>
        </w:tc>
        <w:tc>
          <w:tcPr>
            <w:tcW w:w="5245" w:type="dxa"/>
            <w:noWrap w:val="0"/>
            <w:vAlign w:val="top"/>
          </w:tcPr>
          <w:p>
            <w:pPr>
              <w:overflowPunct w:val="0"/>
              <w:adjustRightInd w:val="0"/>
              <w:snapToGrid w:val="0"/>
              <w:spacing w:line="380" w:lineRule="exact"/>
              <w:rPr>
                <w:rFonts w:ascii="仿宋" w:hAnsi="仿宋" w:eastAsia="仿宋" w:cs="仿宋"/>
                <w:kern w:val="0"/>
                <w:sz w:val="32"/>
                <w:szCs w:val="32"/>
              </w:rPr>
            </w:pPr>
          </w:p>
          <w:p>
            <w:pPr>
              <w:overflowPunct w:val="0"/>
              <w:adjustRightInd w:val="0"/>
              <w:snapToGrid w:val="0"/>
              <w:spacing w:line="3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停止违法行为，在规定的期限内采取其它补救措施的，</w:t>
            </w:r>
            <w:r>
              <w:rPr>
                <w:rFonts w:hint="eastAsia" w:ascii="仿宋" w:hAnsi="仿宋" w:eastAsia="仿宋"/>
                <w:kern w:val="0"/>
                <w:sz w:val="32"/>
                <w:szCs w:val="32"/>
              </w:rPr>
              <w:t>从轻处罚。</w:t>
            </w:r>
          </w:p>
          <w:p>
            <w:pPr>
              <w:overflowPunct w:val="0"/>
              <w:adjustRightInd w:val="0"/>
              <w:snapToGrid w:val="0"/>
              <w:spacing w:line="380" w:lineRule="exact"/>
              <w:rPr>
                <w:rFonts w:ascii="仿宋" w:hAnsi="仿宋" w:eastAsia="仿宋" w:cs="仿宋"/>
                <w:kern w:val="0"/>
                <w:sz w:val="32"/>
                <w:szCs w:val="32"/>
              </w:rPr>
            </w:pPr>
          </w:p>
        </w:tc>
        <w:tc>
          <w:tcPr>
            <w:tcW w:w="3217" w:type="dxa"/>
            <w:noWrap w:val="0"/>
            <w:vAlign w:val="top"/>
          </w:tcPr>
          <w:p>
            <w:r>
              <w:rPr>
                <w:rFonts w:hint="eastAsia" w:ascii="仿宋" w:hAnsi="仿宋" w:eastAsia="仿宋"/>
                <w:kern w:val="0"/>
                <w:sz w:val="24"/>
              </w:rPr>
              <w:t>《防洪法》</w:t>
            </w:r>
            <w:r>
              <w:rPr>
                <w:rFonts w:hint="eastAsia" w:ascii="仿宋" w:hAnsi="仿宋" w:eastAsia="仿宋"/>
                <w:color w:val="333333"/>
                <w:sz w:val="24"/>
                <w:shd w:val="clear" w:color="auto" w:fill="FFFFFF"/>
              </w:rPr>
              <w:t>第五十六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tc>
        <w:tc>
          <w:tcPr>
            <w:tcW w:w="926" w:type="dxa"/>
            <w:noWrap w:val="0"/>
            <w:vAlign w:val="top"/>
          </w:tcPr>
          <w:p>
            <w:pPr>
              <w:spacing w:line="380" w:lineRule="exact"/>
              <w:rPr>
                <w:rFonts w:ascii="仿宋" w:hAnsi="仿宋" w:eastAsia="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noWrap w:val="0"/>
            <w:vAlign w:val="top"/>
          </w:tcPr>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p>
          <w:p>
            <w:pPr>
              <w:spacing w:line="380" w:lineRule="exact"/>
              <w:jc w:val="center"/>
              <w:rPr>
                <w:rFonts w:ascii="仿宋" w:hAnsi="仿宋" w:eastAsia="仿宋"/>
                <w:kern w:val="0"/>
                <w:sz w:val="32"/>
                <w:szCs w:val="32"/>
              </w:rPr>
            </w:pPr>
            <w:r>
              <w:rPr>
                <w:rFonts w:hint="eastAsia" w:ascii="仿宋" w:hAnsi="仿宋" w:eastAsia="仿宋"/>
                <w:kern w:val="0"/>
                <w:sz w:val="32"/>
                <w:szCs w:val="32"/>
              </w:rPr>
              <w:t>6</w:t>
            </w:r>
          </w:p>
        </w:tc>
        <w:tc>
          <w:tcPr>
            <w:tcW w:w="3969" w:type="dxa"/>
            <w:noWrap w:val="0"/>
            <w:vAlign w:val="top"/>
          </w:tcPr>
          <w:p>
            <w:pPr>
              <w:spacing w:line="380" w:lineRule="exact"/>
              <w:rPr>
                <w:rFonts w:ascii="仿宋" w:hAnsi="仿宋" w:eastAsia="仿宋"/>
                <w:kern w:val="0"/>
                <w:sz w:val="32"/>
                <w:szCs w:val="32"/>
              </w:rPr>
            </w:pPr>
            <w:r>
              <w:rPr>
                <w:rFonts w:hint="eastAsia" w:ascii="仿宋" w:hAnsi="仿宋" w:eastAsia="仿宋" w:cs="仿宋"/>
                <w:bCs/>
                <w:kern w:val="0"/>
                <w:sz w:val="32"/>
                <w:szCs w:val="32"/>
              </w:rPr>
              <w:t>擅自从事工程设施建设活动经补办审查同意或者审查批准手续，或者未按照批准的位置、界限从事工程设施建设活动，影响行洪，但尚可采取补救措施的</w:t>
            </w:r>
          </w:p>
        </w:tc>
        <w:tc>
          <w:tcPr>
            <w:tcW w:w="5245" w:type="dxa"/>
            <w:noWrap w:val="0"/>
            <w:vAlign w:val="top"/>
          </w:tcPr>
          <w:p>
            <w:pPr>
              <w:overflowPunct w:val="0"/>
              <w:adjustRightInd w:val="0"/>
              <w:snapToGrid w:val="0"/>
              <w:spacing w:line="380" w:lineRule="exact"/>
              <w:ind w:firstLine="640" w:firstLineChars="200"/>
              <w:rPr>
                <w:rFonts w:ascii="仿宋" w:hAnsi="仿宋" w:eastAsia="仿宋" w:cs="仿宋"/>
                <w:kern w:val="0"/>
                <w:sz w:val="32"/>
                <w:szCs w:val="32"/>
              </w:rPr>
            </w:pPr>
          </w:p>
          <w:p>
            <w:pPr>
              <w:overflowPunct w:val="0"/>
              <w:adjustRightInd w:val="0"/>
              <w:snapToGrid w:val="0"/>
              <w:spacing w:line="380" w:lineRule="exact"/>
              <w:rPr>
                <w:rFonts w:ascii="仿宋" w:hAnsi="仿宋" w:eastAsia="仿宋" w:cs="仿宋"/>
                <w:kern w:val="0"/>
                <w:sz w:val="32"/>
                <w:szCs w:val="32"/>
              </w:rPr>
            </w:pPr>
          </w:p>
          <w:p>
            <w:pPr>
              <w:overflowPunct w:val="0"/>
              <w:adjustRightInd w:val="0"/>
              <w:snapToGrid w:val="0"/>
              <w:spacing w:line="3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在规定期限内采取的补救措施部分消除负面影响的，</w:t>
            </w:r>
            <w:r>
              <w:rPr>
                <w:rFonts w:hint="eastAsia" w:ascii="仿宋" w:hAnsi="仿宋" w:eastAsia="仿宋"/>
                <w:kern w:val="0"/>
                <w:sz w:val="32"/>
                <w:szCs w:val="32"/>
              </w:rPr>
              <w:t>从轻处罚。</w:t>
            </w:r>
          </w:p>
        </w:tc>
        <w:tc>
          <w:tcPr>
            <w:tcW w:w="3217" w:type="dxa"/>
            <w:noWrap w:val="0"/>
            <w:vAlign w:val="top"/>
          </w:tcPr>
          <w:p>
            <w:r>
              <w:rPr>
                <w:rFonts w:hint="eastAsia" w:ascii="仿宋" w:hAnsi="仿宋" w:eastAsia="仿宋"/>
                <w:kern w:val="0"/>
                <w:sz w:val="24"/>
              </w:rPr>
              <w:t>《防洪法》</w:t>
            </w:r>
            <w:r>
              <w:rPr>
                <w:rFonts w:hint="eastAsia" w:ascii="仿宋" w:hAnsi="仿宋" w:eastAsia="仿宋"/>
                <w:color w:val="333333"/>
                <w:sz w:val="24"/>
                <w:shd w:val="clear" w:color="auto" w:fill="FFFFFF"/>
              </w:rPr>
              <w:t>第五十八条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926" w:type="dxa"/>
            <w:noWrap w:val="0"/>
            <w:vAlign w:val="top"/>
          </w:tcPr>
          <w:p>
            <w:pPr>
              <w:spacing w:line="380" w:lineRule="exact"/>
              <w:rPr>
                <w:rFonts w:ascii="仿宋" w:hAnsi="仿宋" w:eastAsia="仿宋"/>
                <w:kern w:val="0"/>
                <w:sz w:val="32"/>
                <w:szCs w:val="32"/>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script"/>
    <w:pitch w:val="default"/>
    <w:sig w:usb0="00000001" w:usb1="08000000" w:usb2="00000000" w:usb3="00000000" w:csb0="00040000" w:csb1="00000000"/>
  </w:font>
  <w:font w:name="方正小标宋简体">
    <w:altName w:val="Arial Unicode MS"/>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8296E"/>
    <w:rsid w:val="2E8F4616"/>
    <w:rsid w:val="CFF829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r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font31"/>
    <w:qFormat/>
    <w:uiPriority w:val="0"/>
    <w:rPr>
      <w:rFonts w:hint="eastAsia" w:ascii="方正黑体_GBK" w:hAnsi="方正黑体_GBK" w:eastAsia="方正黑体_GBK" w:cs="方正黑体_GBK"/>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2022-03-07T14:42:00Z</dcterms:created>
  <dc:creator>fushunshi</dc:creator>
  <cp:lastModifiedBy>不倒云烟</cp:lastModifiedBy>
  <dcterms:modified xsi:type="dcterms:W3CDTF">2022-03-07T07:57:34Z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